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FA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6696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1076325" cy="1076325"/>
            <wp:effectExtent l="19050" t="0" r="9525" b="0"/>
            <wp:docPr id="1" name="Immagine 1" descr="C:\Users\TOMMASO\Desktop\loghi nuovi meyer e fondazione\Marchio_Meyer__AOU_IRCCS_ESE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O\Desktop\loghi nuovi meyer e fondazione\Marchio_Meyer__AOU_IRCCS_ESE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44" cy="107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FA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B40FA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A66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Comunicato stampa</w:t>
      </w:r>
    </w:p>
    <w:p w:rsidR="00DB40FA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B40FA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A66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Screening neonatale: numeri d</w:t>
      </w:r>
      <w:r w:rsidR="000B7D45" w:rsidRPr="00DA66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 record per il </w:t>
      </w:r>
      <w:proofErr w:type="spellStart"/>
      <w:r w:rsidRPr="00DA66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Meyer</w:t>
      </w:r>
      <w:proofErr w:type="spellEnd"/>
    </w:p>
    <w:p w:rsidR="00DB40FA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A16C7" w:rsidRPr="00DA6696" w:rsidRDefault="00DB40FA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66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Firenze -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Circa 700</w:t>
      </w:r>
      <w:r w:rsidR="0064544A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mila neo</w:t>
      </w:r>
      <w:r w:rsidR="008F33C2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 sottoposti a screening, 630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diagnosi</w:t>
      </w:r>
      <w:r w:rsidR="001431AF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effettuate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sono numeri imponenti quelli</w:t>
      </w:r>
      <w:r w:rsidR="0036339F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 fotografano l’attività </w:t>
      </w:r>
      <w:r w:rsidR="008F33C2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screening neonatale 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dell’Azienda Ospedaliera Universitaria </w:t>
      </w:r>
      <w:proofErr w:type="spellStart"/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Meyer</w:t>
      </w:r>
      <w:proofErr w:type="spellEnd"/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IRCCS</w:t>
      </w:r>
      <w:r w:rsidR="001431AF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A16C7" w:rsidRPr="00DA6696" w:rsidRDefault="001431AF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8F33C2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 2001</w:t>
      </w:r>
      <w:r w:rsidR="0027618D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struttura </w:t>
      </w:r>
      <w:r w:rsidR="0027618D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porta avanti un complesso programma di screening 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livello </w:t>
      </w:r>
      <w:r w:rsidR="0027618D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regionale per rilevare, nelle prime</w:t>
      </w:r>
      <w:r w:rsidR="00281102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48-72 ore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vita d</w:t>
      </w:r>
      <w:r w:rsidR="0027618D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tutti i </w:t>
      </w:r>
      <w:r w:rsidR="0027618D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bambini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nati in Toscana</w:t>
      </w:r>
      <w:r w:rsidR="0027618D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7618D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alterazioni biochimiche indicative di determinate malattie</w:t>
      </w:r>
      <w:r w:rsidR="003426F1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prima della comparsa dei sintomi</w:t>
      </w:r>
      <w:r w:rsidR="0027618D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3426F1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Attraverso la semplice analisi di poche gocce di sangue del bambino è possibile ottenere </w:t>
      </w:r>
      <w:r w:rsidR="0064544A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 diagnosi tempestiva che,</w:t>
      </w:r>
      <w:r w:rsidR="0027618D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nella maggior parte dei casi, con le terapie oggi a disposizione, 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consente</w:t>
      </w:r>
      <w:r w:rsidR="0027618D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ai medici di intervenire e salvare la vita dei piccoli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 quantomeno, di limitare i danni pro</w:t>
      </w:r>
      <w:r w:rsidR="003A362E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vocati dalla patologia da cui sono affetti</w:t>
      </w:r>
      <w:r w:rsidR="003426F1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garantire </w:t>
      </w:r>
      <w:r w:rsidR="003A362E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loro </w:t>
      </w:r>
      <w:r w:rsidR="003426F1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 migliore qualità di vita</w:t>
      </w:r>
      <w:r w:rsidR="0027618D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EA16C7" w:rsidRPr="00DA6696" w:rsidRDefault="008F33C2" w:rsidP="00DA6696">
      <w:pPr>
        <w:shd w:val="clear" w:color="auto" w:fill="FFFFFF"/>
        <w:spacing w:after="72" w:line="240" w:lineRule="auto"/>
        <w:jc w:val="both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Delle oltre</w:t>
      </w:r>
      <w:r w:rsidR="00EA16C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600 diagnosi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effett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ate, la maggior parte - 211 - riguarda acidurie organiche</w:t>
      </w:r>
      <w:r w:rsidR="0036339F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l’altra cate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goria di patologie riscontrata con maggiore frequenza -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186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casi - risulta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quella della </w:t>
      </w:r>
      <w:proofErr w:type="spellStart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aminoacidopatie</w:t>
      </w:r>
      <w:proofErr w:type="spellEnd"/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(fra cui la più frequente la Fenilchetonuria).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</w:rPr>
        <w:t xml:space="preserve">In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74 casi sono stati rilevati difetti della beta ossidazione degli acidi grassi e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</w:rPr>
        <w:t xml:space="preserve">in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89 deficit di </w:t>
      </w:r>
      <w:proofErr w:type="spellStart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biotinidasi</w:t>
      </w:r>
      <w:proofErr w:type="spellEnd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Sono state inoltre individuate 9 </w:t>
      </w:r>
      <w:proofErr w:type="spellStart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galattosemie</w:t>
      </w:r>
      <w:proofErr w:type="spellEnd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40 malattie da accumulo lisosomiale (per questa patologia lo screening 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</w:t>
      </w:r>
      <w:proofErr w:type="spellStart"/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Meyer</w:t>
      </w:r>
      <w:proofErr w:type="spellEnd"/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 avuto inizio nel 2014</w:t>
      </w:r>
      <w:r w:rsidR="0064544A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primo progetto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Italia</w:t>
      </w:r>
      <w:r w:rsidR="003426F1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Sempre un progetto pilota condotto in collab</w:t>
      </w:r>
      <w:r w:rsidR="0064544A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orazione con il Laboratorio di I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mmunologia del </w:t>
      </w:r>
      <w:proofErr w:type="spellStart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Meyer</w:t>
      </w:r>
      <w:proofErr w:type="spellEnd"/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 permesso di arrivare alla diagnosi di </w:t>
      </w:r>
      <w:r w:rsidR="0064544A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22 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immunodeficienze, mentre la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collaborazione con l’Ospedale r</w:t>
      </w:r>
      <w:r w:rsidR="00EA16C7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omano Gemelli ha consentito di individuare 8 </w:t>
      </w:r>
      <w:r w:rsidR="0064544A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casi atrofia spinale muscolare, di cui</w:t>
      </w:r>
      <w:r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</w:t>
      </w:r>
      <w:r w:rsidR="0036339F" w:rsidRPr="00DA66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trattati con terapia genica.</w:t>
      </w:r>
    </w:p>
    <w:p w:rsidR="00DB40FA" w:rsidRPr="00DA6696" w:rsidRDefault="001E4F5F" w:rsidP="00DA6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Regione Toscana e il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Meyer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431AF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hanno avuto un ruolo pionieristico nella diffusione dello screening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Italia</w:t>
      </w:r>
      <w:r w:rsidR="001431AF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La Toscana è stata infatti la prima Regione ad aver attivato, nel </w:t>
      </w:r>
      <w:r w:rsidR="008F33C2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2001</w:t>
      </w:r>
      <w:r w:rsidR="001431AF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questo programma di prevenzione secondaria, che, alcuni anni dopo, è stato reso obb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ligatorio da una legge nazionale</w:t>
      </w:r>
      <w:r w:rsidR="001431AF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Questo lungo percorso è iniziato nel 1983 con l’introduzione dello screening per fenilchetonuria (PKU), ipotiroidismo congenito (IC) e successivamente per Fibrosi</w:t>
      </w:r>
      <w:r w:rsidR="0036339F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Cistica (FC); questi programmi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sono stati resi obbligatori su tutto il territorio nazionale dopo nove anni.</w:t>
      </w:r>
      <w:r w:rsid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risultati sono stati così incoraggianti che, grazie alle nuove tecnologie disponibili, la Toscana</w:t>
      </w:r>
      <w:r w:rsidR="00EA16C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a partire dal 20</w:t>
      </w:r>
      <w:r w:rsidR="008F33C2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01 con un progetto pilota e dal 2004 per legge regionale</w:t>
      </w:r>
      <w:r w:rsidR="00EA16C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ha es</w:t>
      </w:r>
      <w:r w:rsidR="008F33C2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teso lo screening a</w:t>
      </w:r>
      <w:r w:rsidR="00CB2039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circa 40 malattie metaboliche ereditarie (SNE-Screening Neonatale Esteso).</w:t>
      </w:r>
      <w:r w:rsid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36339F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Sempre il </w:t>
      </w:r>
      <w:proofErr w:type="spellStart"/>
      <w:r w:rsidR="007F6D6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Meyer</w:t>
      </w:r>
      <w:proofErr w:type="spellEnd"/>
      <w:r w:rsidR="007F6D6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ha condotto progetti pilota per </w:t>
      </w:r>
      <w:r w:rsidR="00DB40FA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 screening neonatale di alcune malattie da accumulo lisosomiale (Malattia di Pompe, la Malattia di </w:t>
      </w:r>
      <w:proofErr w:type="spellStart"/>
      <w:r w:rsidR="00DB40FA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Fabr</w:t>
      </w:r>
      <w:r w:rsidR="007F6D6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y</w:t>
      </w:r>
      <w:proofErr w:type="spellEnd"/>
      <w:r w:rsidR="007F6D6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Mucopolisaccaridosi I) e di alcune</w:t>
      </w:r>
      <w:r w:rsidR="00DB40FA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immunodef</w:t>
      </w:r>
      <w:r w:rsidR="007F6D67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8F33C2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cienze </w:t>
      </w:r>
      <w:bookmarkStart w:id="0" w:name="_GoBack"/>
      <w:bookmarkEnd w:id="0"/>
      <w:r w:rsidR="003426F1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(SCID). L’estensione del programma si è poi allargata al</w:t>
      </w:r>
      <w:r w:rsidR="00DB40FA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l'atrofia muscolare spinale (SMA)</w:t>
      </w:r>
      <w:r w:rsidR="00097083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 2020</w:t>
      </w:r>
      <w:r w:rsidR="008F33C2"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3426F1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 13 marzo 2023</w:t>
      </w:r>
      <w:r w:rsid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grazie al sostegno </w:t>
      </w:r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dell’Associazione </w:t>
      </w:r>
      <w:proofErr w:type="spellStart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Voa</w:t>
      </w:r>
      <w:proofErr w:type="spellEnd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Voa</w:t>
      </w:r>
      <w:proofErr w:type="spellEnd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  <w:proofErr w:type="spellStart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onlus</w:t>
      </w:r>
      <w:proofErr w:type="spellEnd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Amici di Sofia</w:t>
      </w:r>
      <w:r w:rsid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della Fondazione </w:t>
      </w:r>
      <w:proofErr w:type="spellStart"/>
      <w:r w:rsid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Meyer</w:t>
      </w:r>
      <w:proofErr w:type="spellEnd"/>
      <w:r w:rsidR="00DA6696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426F1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6339F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è attivo </w:t>
      </w:r>
      <w:r w:rsidR="003426F1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il progetto pilota per la diagnosi precoce della </w:t>
      </w:r>
      <w:proofErr w:type="spellStart"/>
      <w:r w:rsidR="003426F1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Leucodistrofia</w:t>
      </w:r>
      <w:proofErr w:type="spellEnd"/>
      <w:r w:rsidR="003426F1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Metacromatica (MLD), patologia metabolica rara neurodegenerati</w:t>
      </w:r>
      <w:r w:rsidR="008F33C2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 che colpisce un bambino su 80</w:t>
      </w:r>
      <w:r w:rsidR="003426F1" w:rsidRPr="00DA66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.000 (il dato, verosimilmente sottostimato, è solo indicativo e potrà essere aggiornato durante la sperimentazione in corso).</w:t>
      </w:r>
    </w:p>
    <w:p w:rsidR="00DA6696" w:rsidRPr="00DA6696" w:rsidRDefault="00DA6696" w:rsidP="00DA669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A66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lastRenderedPageBreak/>
        <w:t>La storia di Tommaso.</w:t>
      </w:r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Tommaso, per i medici del </w:t>
      </w:r>
      <w:proofErr w:type="spellStart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Meyer</w:t>
      </w:r>
      <w:proofErr w:type="spellEnd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è un caso speciale. A poche ore dalla nascita, grazie allo screening neonatale, gli fu diagnosticata l’aciduria glutarica di tipo 1, un raro disordine neuro-metabolico che può comportare gravissime crisi encefalopatiche. Oggi, grazie a quella diagnosi precoce</w:t>
      </w:r>
      <w:r w:rsidR="00A212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A21213" w:rsidRPr="00A212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– effettuata presso il Laboratorio di screening neonatale del </w:t>
      </w:r>
      <w:proofErr w:type="spellStart"/>
      <w:r w:rsidR="00A21213" w:rsidRPr="00A212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Meyer</w:t>
      </w:r>
      <w:proofErr w:type="spellEnd"/>
      <w:r w:rsidR="00A21213" w:rsidRPr="00A212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diretto dal professor Giancarlo la Marca - </w:t>
      </w:r>
      <w:r w:rsidRPr="00A2121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alle terapie iniziate tempestivamente, Tommaso è un ragazzo fiorentino di vent’anni, che lavora e fa</w:t>
      </w:r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sport. Segue una dieta e si controlla una volta l’anno, ma </w:t>
      </w:r>
      <w:r w:rsidR="0086703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</w:t>
      </w:r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sua è una vita assolutamente normale. “Ci riteniamo fortunati – dice mamma Serena – perché lo screening per la sua patologia era stato introdotto da pochi mesi ed è stato il primo caso di un bambino curato fin dalla nascita”. Il decorso clinico di Tommaso è stato un vero successo.  “Un’altissima percentuale di bambini con la forma infantile – spiega la dottoressa Elena Procopio, responsabile del Centro per le malattie metaboliche </w:t>
      </w:r>
      <w:proofErr w:type="spellStart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del’AOU</w:t>
      </w:r>
      <w:proofErr w:type="spellEnd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Meyer</w:t>
      </w:r>
      <w:proofErr w:type="spellEnd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IRCCS - presenta crisi encefalopatiche acute che nel 95% dei casi si verificano nei primi 24 mesi di vita. Queste crisi si associano a un danno cerebrale irreversibile e sono seguite dallo sviluppo di un progressivo e complesso disturbo del movimento. Anche le emorragie subdurali, spontanee o indotte da traumi minimi, sono un’altra caratteristica tipica di questa patologia”. Per la </w:t>
      </w:r>
      <w:r w:rsidR="0086703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famiglia di Tommaso la </w:t>
      </w:r>
      <w:proofErr w:type="spellStart"/>
      <w:r w:rsidR="0086703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dignosi</w:t>
      </w:r>
      <w:proofErr w:type="spellEnd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fu un fulmine a ciel sereno. La buona notizia è che la glutarico aciduria è un disordine trattabile: la gestione terapeutica si basa su intervento dietetico (dieta a basso contenuto di lisa), sulla </w:t>
      </w:r>
      <w:proofErr w:type="spellStart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supplementazione</w:t>
      </w:r>
      <w:proofErr w:type="spellEnd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carnitina e sul trattamento intensivo di emergenza durante gli stati catabolici. “Con la disponibilità di uno screening neonatale si è dimostrato che l’inizio del trattamento immediato in pazienti asintomatici si associa a una prognosi molto favorevole, con un’alta percentuale di soggetti che rimangono asintomatici”. E così è stato anche per Tommaso.</w:t>
      </w:r>
    </w:p>
    <w:p w:rsidR="00DA6696" w:rsidRPr="00DA6696" w:rsidRDefault="00DA6696" w:rsidP="00DA669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interviste e approfondimenti: </w:t>
      </w:r>
    </w:p>
    <w:p w:rsidR="00DA6696" w:rsidRPr="00DA6696" w:rsidRDefault="00DA6696" w:rsidP="00DA669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Mavi</w:t>
      </w:r>
      <w:proofErr w:type="spellEnd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Giannotti, ufficio stampa </w:t>
      </w:r>
      <w:proofErr w:type="spellStart"/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Meyer</w:t>
      </w:r>
      <w:proofErr w:type="spellEnd"/>
    </w:p>
    <w:p w:rsidR="00DA6696" w:rsidRPr="00DA6696" w:rsidRDefault="00DA6696" w:rsidP="00DA6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A66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348.3161351</w:t>
      </w:r>
    </w:p>
    <w:sectPr w:rsidR="00DA6696" w:rsidRPr="00DA6696" w:rsidSect="005D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24F0"/>
    <w:rsid w:val="00097083"/>
    <w:rsid w:val="000B7D45"/>
    <w:rsid w:val="000D172D"/>
    <w:rsid w:val="001431AF"/>
    <w:rsid w:val="001E4F5F"/>
    <w:rsid w:val="0027618D"/>
    <w:rsid w:val="00281102"/>
    <w:rsid w:val="002A38CF"/>
    <w:rsid w:val="003426F1"/>
    <w:rsid w:val="0036339F"/>
    <w:rsid w:val="003A362E"/>
    <w:rsid w:val="004D6A94"/>
    <w:rsid w:val="005C2499"/>
    <w:rsid w:val="005D0D1D"/>
    <w:rsid w:val="0064544A"/>
    <w:rsid w:val="007046BF"/>
    <w:rsid w:val="007F6D67"/>
    <w:rsid w:val="00867035"/>
    <w:rsid w:val="008F33C2"/>
    <w:rsid w:val="00995EBB"/>
    <w:rsid w:val="009D62D6"/>
    <w:rsid w:val="00A21213"/>
    <w:rsid w:val="00AD11F4"/>
    <w:rsid w:val="00C424F0"/>
    <w:rsid w:val="00CB2039"/>
    <w:rsid w:val="00D27A65"/>
    <w:rsid w:val="00D57A2C"/>
    <w:rsid w:val="00DA6696"/>
    <w:rsid w:val="00DB40FA"/>
    <w:rsid w:val="00EA16C7"/>
    <w:rsid w:val="00F37E8A"/>
    <w:rsid w:val="00F837EA"/>
    <w:rsid w:val="00F86F43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E44B-E967-413D-AA0E-AAB53C39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D1D"/>
  </w:style>
  <w:style w:type="paragraph" w:styleId="Titolo1">
    <w:name w:val="heading 1"/>
    <w:basedOn w:val="Normale"/>
    <w:link w:val="Titolo1Carattere"/>
    <w:uiPriority w:val="9"/>
    <w:qFormat/>
    <w:rsid w:val="00C42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24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4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24F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24F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42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Paola Cocito</cp:lastModifiedBy>
  <cp:revision>3</cp:revision>
  <dcterms:created xsi:type="dcterms:W3CDTF">2023-10-04T07:04:00Z</dcterms:created>
  <dcterms:modified xsi:type="dcterms:W3CDTF">2023-10-04T07:44:00Z</dcterms:modified>
</cp:coreProperties>
</file>